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F3A3D">
      <w:pPr>
        <w:rPr>
          <w:rFonts w:ascii="仿宋" w:hAnsi="仿宋" w:eastAsia="仿宋" w:cs="仿宋"/>
          <w:sz w:val="30"/>
          <w:szCs w:val="30"/>
        </w:rPr>
      </w:pPr>
      <w:r>
        <w:rPr>
          <w:rFonts w:hint="eastAsia" w:ascii="仿宋" w:hAnsi="仿宋" w:eastAsia="仿宋" w:cs="仿宋"/>
          <w:sz w:val="30"/>
          <w:szCs w:val="30"/>
        </w:rPr>
        <w:t>附件</w:t>
      </w:r>
      <w:r>
        <w:rPr>
          <w:rFonts w:hint="eastAsia" w:ascii="仿宋" w:hAnsi="仿宋" w:eastAsia="仿宋" w:cs="仿宋"/>
          <w:sz w:val="30"/>
          <w:szCs w:val="30"/>
          <w:lang w:val="en-US" w:eastAsia="zh-CN"/>
        </w:rPr>
        <w:t>2</w:t>
      </w:r>
      <w:r>
        <w:rPr>
          <w:rFonts w:hint="eastAsia" w:ascii="仿宋" w:hAnsi="仿宋" w:eastAsia="仿宋" w:cs="仿宋"/>
          <w:sz w:val="30"/>
          <w:szCs w:val="30"/>
        </w:rPr>
        <w:t>：</w:t>
      </w:r>
    </w:p>
    <w:p w14:paraId="615DFC2A">
      <w:pPr>
        <w:jc w:val="center"/>
        <w:rPr>
          <w:rFonts w:ascii="仿宋" w:hAnsi="仿宋" w:eastAsia="仿宋" w:cs="仿宋"/>
          <w:b/>
          <w:bCs/>
          <w:sz w:val="30"/>
          <w:szCs w:val="30"/>
        </w:rPr>
      </w:pPr>
    </w:p>
    <w:p w14:paraId="4D1EE191">
      <w:pPr>
        <w:jc w:val="center"/>
        <w:rPr>
          <w:rFonts w:ascii="宋体" w:hAnsi="宋体" w:eastAsia="宋体" w:cs="宋体"/>
          <w:b/>
          <w:bCs/>
          <w:sz w:val="36"/>
          <w:szCs w:val="36"/>
        </w:rPr>
      </w:pPr>
      <w:r>
        <w:rPr>
          <w:rFonts w:hint="eastAsia" w:ascii="宋体" w:hAnsi="宋体" w:eastAsia="宋体" w:cs="宋体"/>
          <w:b/>
          <w:bCs/>
          <w:sz w:val="36"/>
          <w:szCs w:val="36"/>
        </w:rPr>
        <w:t>特级管理会计师</w:t>
      </w:r>
      <w:r>
        <w:rPr>
          <w:rFonts w:hint="eastAsia" w:ascii="宋体" w:hAnsi="宋体" w:eastAsia="宋体" w:cs="宋体"/>
          <w:b/>
          <w:bCs/>
          <w:color w:val="000000" w:themeColor="text1"/>
          <w:sz w:val="36"/>
          <w:szCs w:val="36"/>
          <w14:textFill>
            <w14:solidFill>
              <w14:schemeClr w14:val="tx1"/>
            </w14:solidFill>
          </w14:textFill>
        </w:rPr>
        <w:t>评审</w:t>
      </w:r>
      <w:r>
        <w:rPr>
          <w:rFonts w:hint="eastAsia" w:ascii="宋体" w:hAnsi="宋体" w:eastAsia="宋体" w:cs="宋体"/>
          <w:b/>
          <w:bCs/>
          <w:sz w:val="36"/>
          <w:szCs w:val="36"/>
        </w:rPr>
        <w:t>办法</w:t>
      </w:r>
    </w:p>
    <w:p w14:paraId="73EE384D">
      <w:pPr>
        <w:jc w:val="center"/>
        <w:rPr>
          <w:rFonts w:ascii="仿宋" w:hAnsi="仿宋" w:eastAsia="仿宋" w:cs="仿宋"/>
          <w:sz w:val="30"/>
          <w:szCs w:val="30"/>
        </w:rPr>
      </w:pPr>
      <w:r>
        <w:rPr>
          <w:rFonts w:hint="eastAsia" w:ascii="仿宋" w:hAnsi="仿宋" w:eastAsia="仿宋" w:cs="仿宋"/>
          <w:sz w:val="30"/>
          <w:szCs w:val="30"/>
        </w:rPr>
        <w:t xml:space="preserve">                                                               </w:t>
      </w:r>
    </w:p>
    <w:p w14:paraId="11388695">
      <w:pPr>
        <w:jc w:val="center"/>
        <w:rPr>
          <w:rFonts w:ascii="仿宋" w:hAnsi="仿宋" w:eastAsia="仿宋" w:cs="仿宋"/>
          <w:sz w:val="30"/>
          <w:szCs w:val="30"/>
        </w:rPr>
      </w:pPr>
      <w:r>
        <w:rPr>
          <w:rFonts w:hint="eastAsia" w:ascii="仿宋" w:hAnsi="仿宋" w:eastAsia="仿宋" w:cs="仿宋"/>
          <w:bCs/>
          <w:sz w:val="30"/>
          <w:szCs w:val="30"/>
        </w:rPr>
        <w:t xml:space="preserve">  </w:t>
      </w:r>
      <w:r>
        <w:rPr>
          <w:rFonts w:hint="eastAsia" w:ascii="仿宋" w:hAnsi="仿宋" w:eastAsia="仿宋" w:cs="仿宋"/>
          <w:b/>
          <w:bCs/>
          <w:sz w:val="30"/>
          <w:szCs w:val="30"/>
        </w:rPr>
        <w:t>第一章 总 则</w:t>
      </w:r>
    </w:p>
    <w:p w14:paraId="47A55346">
      <w:pPr>
        <w:ind w:firstLine="602" w:firstLineChars="200"/>
        <w:rPr>
          <w:rFonts w:ascii="仿宋" w:hAnsi="仿宋" w:eastAsia="仿宋" w:cs="仿宋"/>
          <w:sz w:val="30"/>
          <w:szCs w:val="30"/>
        </w:rPr>
      </w:pPr>
      <w:r>
        <w:rPr>
          <w:rFonts w:hint="eastAsia" w:ascii="仿宋" w:hAnsi="仿宋" w:eastAsia="仿宋" w:cs="仿宋"/>
          <w:b/>
          <w:sz w:val="30"/>
          <w:szCs w:val="30"/>
        </w:rPr>
        <w:t>第一条</w:t>
      </w:r>
      <w:r>
        <w:rPr>
          <w:rFonts w:hint="eastAsia" w:ascii="仿宋" w:hAnsi="仿宋" w:eastAsia="仿宋" w:cs="仿宋"/>
          <w:sz w:val="30"/>
          <w:szCs w:val="30"/>
        </w:rPr>
        <w:t xml:space="preserve"> 财政部《会计改革与发展“十三五”规划纲要》(以下简称“《规划》”)中提出：“加快推进管理会计人才培养，力争到2020年培养3万名精于理财、善于管理和决策的管理会计人才”。为积极落实《规划》中关于我国管理会计人才培养目标的要求，加快发展中国特色的管理会计，促进企事业单位提高管理水平和创新能力，中国总会计师协会（以下简称“中总协”）决定开展特级管理会计师评审工作。为保证客观、公正、准确地评出特级管理会计师，特制定本办法。</w:t>
      </w:r>
    </w:p>
    <w:p w14:paraId="3483AA0D">
      <w:pPr>
        <w:ind w:firstLine="602" w:firstLineChars="200"/>
        <w:rPr>
          <w:rFonts w:ascii="仿宋" w:hAnsi="仿宋" w:eastAsia="仿宋" w:cs="仿宋"/>
          <w:sz w:val="30"/>
          <w:szCs w:val="30"/>
        </w:rPr>
      </w:pPr>
      <w:r>
        <w:rPr>
          <w:rFonts w:hint="eastAsia" w:ascii="仿宋" w:hAnsi="仿宋" w:eastAsia="仿宋" w:cs="仿宋"/>
          <w:b/>
          <w:sz w:val="30"/>
          <w:szCs w:val="30"/>
        </w:rPr>
        <w:t xml:space="preserve">第二条 </w:t>
      </w:r>
      <w:r>
        <w:rPr>
          <w:rFonts w:hint="eastAsia" w:ascii="仿宋" w:hAnsi="仿宋" w:eastAsia="仿宋" w:cs="仿宋"/>
          <w:sz w:val="30"/>
          <w:szCs w:val="30"/>
        </w:rPr>
        <w:t>特级管理会计师是指精通现代管理会计理念、工具和方法，并将工具方法与所在单位业务深度融合，在预测、决策、控制、评价等管理活动中开展服务战略、支持决策、管理风险、创造价值等工作，并在管理领域中发挥特别突出作用的领军人才。</w:t>
      </w:r>
    </w:p>
    <w:p w14:paraId="4C258D56">
      <w:pPr>
        <w:ind w:firstLine="602" w:firstLineChars="200"/>
        <w:rPr>
          <w:rFonts w:ascii="仿宋" w:hAnsi="仿宋" w:eastAsia="仿宋" w:cs="仿宋"/>
          <w:sz w:val="30"/>
          <w:szCs w:val="30"/>
        </w:rPr>
      </w:pPr>
      <w:r>
        <w:rPr>
          <w:rFonts w:hint="eastAsia" w:ascii="仿宋" w:hAnsi="仿宋" w:eastAsia="仿宋" w:cs="仿宋"/>
          <w:b/>
          <w:sz w:val="30"/>
          <w:szCs w:val="30"/>
        </w:rPr>
        <w:t xml:space="preserve">第三条 </w:t>
      </w:r>
      <w:r>
        <w:rPr>
          <w:rFonts w:hint="eastAsia" w:ascii="仿宋" w:hAnsi="仿宋" w:eastAsia="仿宋" w:cs="仿宋"/>
          <w:sz w:val="30"/>
          <w:szCs w:val="30"/>
        </w:rPr>
        <w:t>特级管理会计师由中总协成立的特级管理会计师评审委员会（以下简称“评委会”）评审产生。</w:t>
      </w:r>
    </w:p>
    <w:p w14:paraId="6D6F8C50">
      <w:pPr>
        <w:ind w:firstLine="602" w:firstLineChars="200"/>
        <w:rPr>
          <w:rFonts w:ascii="仿宋" w:hAnsi="仿宋" w:eastAsia="仿宋" w:cs="仿宋"/>
          <w:sz w:val="30"/>
          <w:szCs w:val="30"/>
        </w:rPr>
      </w:pPr>
      <w:r>
        <w:rPr>
          <w:rFonts w:hint="eastAsia" w:ascii="仿宋" w:hAnsi="仿宋" w:eastAsia="仿宋" w:cs="仿宋"/>
          <w:b/>
          <w:sz w:val="30"/>
          <w:szCs w:val="30"/>
        </w:rPr>
        <w:t xml:space="preserve">第四条 </w:t>
      </w:r>
      <w:r>
        <w:rPr>
          <w:rFonts w:hint="eastAsia" w:ascii="仿宋" w:hAnsi="仿宋" w:eastAsia="仿宋" w:cs="仿宋"/>
          <w:sz w:val="30"/>
          <w:szCs w:val="30"/>
        </w:rPr>
        <w:t>特级管理会计师评审要充分考虑申请人所在单位的所有制类型、规模、地区和行业分布，以求在全国范围内评出中国管理会计师的领军人才，确保特级管理会计师队伍的覆盖面和代表性。</w:t>
      </w:r>
    </w:p>
    <w:p w14:paraId="4AF26266">
      <w:pPr>
        <w:ind w:firstLine="602" w:firstLineChars="200"/>
        <w:rPr>
          <w:rFonts w:ascii="仿宋" w:hAnsi="仿宋" w:eastAsia="仿宋" w:cs="仿宋"/>
          <w:sz w:val="30"/>
          <w:szCs w:val="30"/>
        </w:rPr>
      </w:pPr>
      <w:r>
        <w:rPr>
          <w:rFonts w:hint="eastAsia" w:ascii="仿宋" w:hAnsi="仿宋" w:eastAsia="仿宋" w:cs="仿宋"/>
          <w:b/>
          <w:sz w:val="30"/>
          <w:szCs w:val="30"/>
        </w:rPr>
        <w:t xml:space="preserve">第五条 </w:t>
      </w:r>
      <w:r>
        <w:rPr>
          <w:rFonts w:hint="eastAsia" w:ascii="仿宋" w:hAnsi="仿宋" w:eastAsia="仿宋" w:cs="仿宋"/>
          <w:sz w:val="30"/>
          <w:szCs w:val="30"/>
        </w:rPr>
        <w:t>特级管理会计师评审工作原则上每年举办一次,每年评出人数一般在50位左右。</w:t>
      </w:r>
    </w:p>
    <w:p w14:paraId="5CE534D2">
      <w:pPr>
        <w:ind w:firstLine="602" w:firstLineChars="200"/>
        <w:rPr>
          <w:rFonts w:ascii="仿宋" w:hAnsi="仿宋" w:eastAsia="仿宋" w:cs="仿宋"/>
          <w:sz w:val="30"/>
          <w:szCs w:val="30"/>
        </w:rPr>
      </w:pPr>
      <w:r>
        <w:rPr>
          <w:rFonts w:hint="eastAsia" w:ascii="仿宋" w:hAnsi="仿宋" w:eastAsia="仿宋" w:cs="仿宋"/>
          <w:b/>
          <w:sz w:val="30"/>
          <w:szCs w:val="30"/>
        </w:rPr>
        <w:t xml:space="preserve">第六条 </w:t>
      </w:r>
      <w:r>
        <w:rPr>
          <w:rFonts w:hint="eastAsia" w:ascii="仿宋" w:hAnsi="仿宋" w:eastAsia="仿宋" w:cs="仿宋"/>
          <w:sz w:val="30"/>
          <w:szCs w:val="30"/>
        </w:rPr>
        <w:t>被评定为特级管理会计师的人员,可由中总协向有关部门和单位推荐，在管理和专业中发挥更大作用；可选聘为中总协管理会计特聘专家、中总协咨询委员会（或项目）专家，并有资格入选中总协特级管理会计师评委会，享受相应的权利和义务。</w:t>
      </w:r>
    </w:p>
    <w:p w14:paraId="0399F637">
      <w:pPr>
        <w:ind w:firstLine="602" w:firstLineChars="200"/>
        <w:jc w:val="center"/>
        <w:rPr>
          <w:rFonts w:ascii="仿宋" w:hAnsi="仿宋" w:eastAsia="仿宋" w:cs="仿宋"/>
          <w:b/>
          <w:sz w:val="30"/>
          <w:szCs w:val="30"/>
        </w:rPr>
      </w:pPr>
    </w:p>
    <w:p w14:paraId="029C0386">
      <w:pPr>
        <w:ind w:firstLine="602" w:firstLineChars="200"/>
        <w:jc w:val="center"/>
        <w:rPr>
          <w:rFonts w:ascii="仿宋" w:hAnsi="仿宋" w:eastAsia="仿宋" w:cs="仿宋"/>
          <w:b/>
          <w:sz w:val="30"/>
          <w:szCs w:val="30"/>
        </w:rPr>
      </w:pPr>
      <w:r>
        <w:rPr>
          <w:rFonts w:hint="eastAsia" w:ascii="仿宋" w:hAnsi="仿宋" w:eastAsia="仿宋" w:cs="仿宋"/>
          <w:b/>
          <w:sz w:val="30"/>
          <w:szCs w:val="30"/>
        </w:rPr>
        <w:t>第二章  评审</w:t>
      </w:r>
      <w:r>
        <w:rPr>
          <w:rFonts w:hint="eastAsia" w:ascii="仿宋" w:hAnsi="仿宋" w:eastAsia="仿宋" w:cs="仿宋"/>
          <w:b/>
          <w:bCs/>
          <w:sz w:val="30"/>
          <w:szCs w:val="30"/>
        </w:rPr>
        <w:t>机制</w:t>
      </w:r>
    </w:p>
    <w:p w14:paraId="27C7C3C9">
      <w:pPr>
        <w:ind w:firstLine="602" w:firstLineChars="200"/>
        <w:rPr>
          <w:rFonts w:ascii="仿宋" w:hAnsi="仿宋" w:eastAsia="仿宋" w:cs="仿宋"/>
          <w:sz w:val="30"/>
          <w:szCs w:val="30"/>
        </w:rPr>
      </w:pPr>
      <w:r>
        <w:rPr>
          <w:rFonts w:hint="eastAsia" w:ascii="仿宋" w:hAnsi="仿宋" w:eastAsia="仿宋" w:cs="仿宋"/>
          <w:b/>
          <w:sz w:val="30"/>
          <w:szCs w:val="30"/>
        </w:rPr>
        <w:t xml:space="preserve">第七条 </w:t>
      </w:r>
      <w:r>
        <w:rPr>
          <w:rFonts w:hint="eastAsia" w:ascii="仿宋" w:hAnsi="仿宋" w:eastAsia="仿宋" w:cs="仿宋"/>
          <w:sz w:val="30"/>
          <w:szCs w:val="30"/>
        </w:rPr>
        <w:t>中总协成立特级管理会计师评委会，评委会成员在中总协成立的“管理会计百人专家库”中遴选产生，专家库由来自政府机关、行业组织、理论界和实务界的专家组成。评委会设总指导1人，主任1人，副主任1-2人，每届评委会专家人数不少于15人。</w:t>
      </w:r>
    </w:p>
    <w:p w14:paraId="0B1BC9D3">
      <w:pPr>
        <w:ind w:firstLine="602" w:firstLineChars="200"/>
        <w:rPr>
          <w:rFonts w:ascii="仿宋" w:hAnsi="仿宋" w:eastAsia="仿宋" w:cs="仿宋"/>
          <w:sz w:val="30"/>
          <w:szCs w:val="30"/>
        </w:rPr>
      </w:pPr>
      <w:r>
        <w:rPr>
          <w:rFonts w:hint="eastAsia" w:ascii="仿宋" w:hAnsi="仿宋" w:eastAsia="仿宋" w:cs="仿宋"/>
          <w:b/>
          <w:sz w:val="30"/>
          <w:szCs w:val="30"/>
        </w:rPr>
        <w:t xml:space="preserve">第八条 </w:t>
      </w:r>
      <w:r>
        <w:rPr>
          <w:rFonts w:hint="eastAsia" w:ascii="仿宋" w:hAnsi="仿宋" w:eastAsia="仿宋" w:cs="仿宋"/>
          <w:sz w:val="30"/>
          <w:szCs w:val="30"/>
        </w:rPr>
        <w:t>评委会负责对申请人的任职资历、水平能力、专业成果及工作业绩进行专业评定，确定申请人是否达到特级管理会计师的评定标准。</w:t>
      </w:r>
    </w:p>
    <w:p w14:paraId="23EDD45F">
      <w:pPr>
        <w:ind w:firstLine="602" w:firstLineChars="200"/>
        <w:rPr>
          <w:rFonts w:ascii="仿宋" w:hAnsi="仿宋" w:eastAsia="仿宋" w:cs="仿宋"/>
          <w:sz w:val="30"/>
          <w:szCs w:val="30"/>
        </w:rPr>
      </w:pPr>
      <w:r>
        <w:rPr>
          <w:rFonts w:hint="eastAsia" w:ascii="仿宋" w:hAnsi="仿宋" w:eastAsia="仿宋" w:cs="仿宋"/>
          <w:b/>
          <w:sz w:val="30"/>
          <w:szCs w:val="30"/>
        </w:rPr>
        <w:t>第九条</w:t>
      </w:r>
      <w:r>
        <w:rPr>
          <w:rFonts w:hint="eastAsia" w:ascii="仿宋" w:hAnsi="仿宋" w:eastAsia="仿宋" w:cs="仿宋"/>
          <w:sz w:val="30"/>
          <w:szCs w:val="30"/>
        </w:rPr>
        <w:t xml:space="preserve"> 评委会下设评审工作办公室，负责评委会的日常行政与管理工作。</w:t>
      </w:r>
    </w:p>
    <w:p w14:paraId="5347A124">
      <w:pPr>
        <w:ind w:firstLine="602" w:firstLineChars="200"/>
        <w:rPr>
          <w:rFonts w:ascii="仿宋" w:hAnsi="仿宋" w:eastAsia="仿宋" w:cs="仿宋"/>
          <w:sz w:val="30"/>
          <w:szCs w:val="30"/>
        </w:rPr>
      </w:pPr>
      <w:r>
        <w:rPr>
          <w:rFonts w:hint="eastAsia" w:ascii="仿宋" w:hAnsi="仿宋" w:eastAsia="仿宋" w:cs="仿宋"/>
          <w:b/>
          <w:sz w:val="30"/>
          <w:szCs w:val="30"/>
        </w:rPr>
        <w:t xml:space="preserve">第十条 </w:t>
      </w:r>
      <w:r>
        <w:rPr>
          <w:rFonts w:hint="eastAsia" w:ascii="仿宋" w:hAnsi="仿宋" w:eastAsia="仿宋" w:cs="仿宋"/>
          <w:sz w:val="30"/>
          <w:szCs w:val="30"/>
        </w:rPr>
        <w:t>评委会遵循“公开、公正、透明”的原则开展评审工作，严格掌握标准条件，保证评审质量。</w:t>
      </w:r>
    </w:p>
    <w:p w14:paraId="5E5B1128">
      <w:pPr>
        <w:ind w:firstLine="602" w:firstLineChars="200"/>
        <w:jc w:val="center"/>
        <w:rPr>
          <w:rFonts w:ascii="仿宋" w:hAnsi="仿宋" w:eastAsia="仿宋" w:cs="仿宋"/>
          <w:b/>
          <w:bCs/>
          <w:sz w:val="30"/>
          <w:szCs w:val="30"/>
        </w:rPr>
      </w:pPr>
      <w:r>
        <w:rPr>
          <w:rFonts w:hint="eastAsia" w:ascii="仿宋" w:hAnsi="仿宋" w:eastAsia="仿宋" w:cs="仿宋"/>
          <w:b/>
          <w:bCs/>
          <w:sz w:val="30"/>
          <w:szCs w:val="30"/>
        </w:rPr>
        <w:t>第三章  评审程序</w:t>
      </w:r>
    </w:p>
    <w:p w14:paraId="2DC44230">
      <w:pPr>
        <w:ind w:firstLine="600" w:firstLineChars="200"/>
        <w:rPr>
          <w:rFonts w:ascii="仿宋" w:hAnsi="仿宋" w:eastAsia="仿宋" w:cs="仿宋"/>
          <w:sz w:val="30"/>
          <w:szCs w:val="30"/>
        </w:rPr>
      </w:pPr>
      <w:r>
        <w:rPr>
          <w:rFonts w:hint="eastAsia" w:ascii="仿宋" w:hAnsi="仿宋" w:eastAsia="仿宋" w:cs="仿宋"/>
          <w:sz w:val="30"/>
          <w:szCs w:val="30"/>
        </w:rPr>
        <w:t>评委会及评审工作办公室应按照以下程序开展评审工作：</w:t>
      </w:r>
    </w:p>
    <w:p w14:paraId="1BB9B0E5">
      <w:pPr>
        <w:ind w:firstLine="602" w:firstLineChars="200"/>
        <w:rPr>
          <w:rFonts w:ascii="仿宋" w:hAnsi="仿宋" w:eastAsia="仿宋" w:cs="仿宋"/>
          <w:sz w:val="30"/>
          <w:szCs w:val="30"/>
        </w:rPr>
      </w:pPr>
      <w:r>
        <w:rPr>
          <w:rFonts w:hint="eastAsia" w:ascii="仿宋" w:hAnsi="仿宋" w:eastAsia="仿宋" w:cs="仿宋"/>
          <w:b/>
          <w:sz w:val="30"/>
          <w:szCs w:val="30"/>
        </w:rPr>
        <w:t>第十一条 推荐</w:t>
      </w:r>
      <w:r>
        <w:rPr>
          <w:rFonts w:hint="eastAsia" w:ascii="仿宋" w:hAnsi="仿宋" w:eastAsia="仿宋" w:cs="仿宋"/>
          <w:sz w:val="30"/>
          <w:szCs w:val="30"/>
        </w:rPr>
        <w:t>。中总协所属各地方协会、分会、代表处可以积极推荐会员单位中符合条件的会员参评；中总协理事以上单位以及直属单位会员、个人会员中符合标准的人员可以自荐参评；非中总协会员须由中总协“管理会计百人专家库”中两名专家推荐参评。</w:t>
      </w:r>
    </w:p>
    <w:p w14:paraId="45E26484">
      <w:pPr>
        <w:ind w:firstLine="602" w:firstLineChars="200"/>
        <w:rPr>
          <w:rFonts w:ascii="仿宋" w:hAnsi="仿宋" w:eastAsia="仿宋" w:cs="仿宋"/>
          <w:sz w:val="30"/>
          <w:szCs w:val="30"/>
        </w:rPr>
      </w:pPr>
      <w:r>
        <w:rPr>
          <w:rFonts w:hint="eastAsia" w:ascii="仿宋" w:hAnsi="仿宋" w:eastAsia="仿宋" w:cs="仿宋"/>
          <w:b/>
          <w:bCs/>
          <w:sz w:val="30"/>
          <w:szCs w:val="30"/>
        </w:rPr>
        <w:t>第十二条 资料</w:t>
      </w:r>
      <w:r>
        <w:rPr>
          <w:rFonts w:hint="eastAsia" w:ascii="仿宋" w:hAnsi="仿宋" w:eastAsia="仿宋" w:cs="仿宋"/>
          <w:b/>
          <w:sz w:val="30"/>
          <w:szCs w:val="30"/>
        </w:rPr>
        <w:t>受理</w:t>
      </w:r>
      <w:r>
        <w:rPr>
          <w:rFonts w:hint="eastAsia" w:ascii="仿宋" w:hAnsi="仿宋" w:eastAsia="仿宋" w:cs="仿宋"/>
          <w:sz w:val="30"/>
          <w:szCs w:val="30"/>
        </w:rPr>
        <w:t>。由评审工作办公室负责申请资料的受理以及完整性和真实性审核。评审工作办公室对不完整、填写不清楚的申请材料，应及时通知申请人在限定时间内补办。如发现弄虚作假行为，应取消申请人评定资格并不再受理申请。</w:t>
      </w:r>
    </w:p>
    <w:p w14:paraId="652D4036">
      <w:pPr>
        <w:ind w:firstLine="602" w:firstLineChars="200"/>
        <w:rPr>
          <w:rFonts w:ascii="仿宋" w:hAnsi="仿宋" w:eastAsia="仿宋" w:cs="仿宋"/>
          <w:bCs/>
          <w:sz w:val="30"/>
          <w:szCs w:val="30"/>
        </w:rPr>
      </w:pPr>
      <w:r>
        <w:rPr>
          <w:rFonts w:hint="eastAsia" w:ascii="仿宋" w:hAnsi="仿宋" w:eastAsia="仿宋" w:cs="仿宋"/>
          <w:b/>
          <w:sz w:val="30"/>
          <w:szCs w:val="30"/>
        </w:rPr>
        <w:t xml:space="preserve">第十三条 </w:t>
      </w:r>
      <w:r>
        <w:rPr>
          <w:rFonts w:hint="eastAsia" w:ascii="仿宋" w:hAnsi="仿宋" w:eastAsia="仿宋" w:cs="仿宋"/>
          <w:b/>
          <w:bCs/>
          <w:sz w:val="30"/>
          <w:szCs w:val="30"/>
        </w:rPr>
        <w:t>专家评审</w:t>
      </w:r>
      <w:r>
        <w:rPr>
          <w:rFonts w:hint="eastAsia" w:ascii="仿宋" w:hAnsi="仿宋" w:eastAsia="仿宋" w:cs="仿宋"/>
          <w:bCs/>
          <w:sz w:val="30"/>
          <w:szCs w:val="30"/>
        </w:rPr>
        <w:t>。专家评审分为初评和复评两个阶段。</w:t>
      </w:r>
    </w:p>
    <w:p w14:paraId="189FD09E">
      <w:pPr>
        <w:ind w:firstLine="600" w:firstLineChars="200"/>
        <w:rPr>
          <w:rFonts w:ascii="仿宋" w:hAnsi="仿宋" w:eastAsia="仿宋" w:cs="仿宋"/>
          <w:sz w:val="30"/>
          <w:szCs w:val="30"/>
        </w:rPr>
      </w:pPr>
      <w:r>
        <w:rPr>
          <w:rFonts w:hint="eastAsia" w:ascii="仿宋" w:hAnsi="仿宋" w:eastAsia="仿宋" w:cs="仿宋"/>
          <w:bCs/>
          <w:sz w:val="30"/>
          <w:szCs w:val="30"/>
        </w:rPr>
        <w:t>初评。初评组专家不少于5人，负责对审核合格进入参评的申请人资料进行初评，确定进入复评的申请人名单。初评组专家</w:t>
      </w:r>
      <w:r>
        <w:rPr>
          <w:rFonts w:hint="eastAsia" w:ascii="仿宋" w:hAnsi="仿宋" w:eastAsia="仿宋" w:cs="仿宋"/>
          <w:sz w:val="30"/>
          <w:szCs w:val="30"/>
        </w:rPr>
        <w:t>根据特级管理会计师的评定条件，对申请人提交的申评材料进行评分，平均分数在60分及以上的申请人进入复评阶段。</w:t>
      </w:r>
    </w:p>
    <w:p w14:paraId="0A9E6885">
      <w:pPr>
        <w:ind w:firstLine="600" w:firstLineChars="200"/>
        <w:rPr>
          <w:rFonts w:ascii="仿宋" w:hAnsi="仿宋" w:eastAsia="仿宋" w:cs="仿宋"/>
          <w:sz w:val="30"/>
          <w:szCs w:val="30"/>
        </w:rPr>
      </w:pPr>
      <w:r>
        <w:rPr>
          <w:rFonts w:hint="eastAsia" w:ascii="仿宋" w:hAnsi="仿宋" w:eastAsia="仿宋" w:cs="仿宋"/>
          <w:sz w:val="30"/>
          <w:szCs w:val="30"/>
        </w:rPr>
        <w:t>复评。复评组专家负责对进入复评的申请人进行综合评定。复评组对进入复评的申请人提交的申评材料进行综合评议，由参加评审会议的评委会专家进行无记名投票表决，每位申请人赞成票数达到出席会议的评委会专家人数2/3通过有效。</w:t>
      </w:r>
    </w:p>
    <w:p w14:paraId="536AD500">
      <w:pPr>
        <w:ind w:firstLine="602" w:firstLineChars="200"/>
        <w:rPr>
          <w:rFonts w:ascii="仿宋" w:hAnsi="仿宋" w:eastAsia="仿宋" w:cs="仿宋"/>
          <w:sz w:val="30"/>
          <w:szCs w:val="30"/>
        </w:rPr>
      </w:pPr>
      <w:r>
        <w:rPr>
          <w:rFonts w:hint="eastAsia" w:ascii="仿宋" w:hAnsi="仿宋" w:eastAsia="仿宋" w:cs="仿宋"/>
          <w:b/>
          <w:sz w:val="30"/>
          <w:szCs w:val="30"/>
        </w:rPr>
        <w:t>第十四条 公示</w:t>
      </w:r>
      <w:r>
        <w:rPr>
          <w:rFonts w:hint="eastAsia" w:ascii="仿宋" w:hAnsi="仿宋" w:eastAsia="仿宋" w:cs="仿宋"/>
          <w:sz w:val="30"/>
          <w:szCs w:val="30"/>
        </w:rPr>
        <w:t xml:space="preserve">。经评委会审定通过的特级管理会计师名单，需在全国范围内向社会进行公示，公示期不少于10个工作日。公示期内,任何单位或个人对公布结果持有异议,可通过书面形式向评审工作办公室进行实名投诉。 </w:t>
      </w:r>
    </w:p>
    <w:p w14:paraId="170F4948">
      <w:pPr>
        <w:ind w:firstLine="602" w:firstLineChars="200"/>
        <w:rPr>
          <w:rFonts w:ascii="仿宋" w:hAnsi="仿宋" w:eastAsia="仿宋" w:cs="仿宋"/>
          <w:sz w:val="30"/>
          <w:szCs w:val="30"/>
        </w:rPr>
      </w:pPr>
      <w:r>
        <w:rPr>
          <w:rFonts w:hint="eastAsia" w:ascii="仿宋" w:hAnsi="仿宋" w:eastAsia="仿宋" w:cs="仿宋"/>
          <w:b/>
          <w:sz w:val="30"/>
          <w:szCs w:val="30"/>
        </w:rPr>
        <w:t xml:space="preserve">第十五条 </w:t>
      </w:r>
      <w:r>
        <w:rPr>
          <w:rFonts w:hint="eastAsia" w:ascii="仿宋" w:hAnsi="仿宋" w:eastAsia="仿宋" w:cs="仿宋"/>
          <w:sz w:val="30"/>
          <w:szCs w:val="30"/>
        </w:rPr>
        <w:t>颁发证书。经评审通过的人员名单，经公示无异议后，由中总协颁发《特级管理会计师》证书。</w:t>
      </w:r>
    </w:p>
    <w:p w14:paraId="3DCE147E">
      <w:pPr>
        <w:jc w:val="center"/>
        <w:rPr>
          <w:rFonts w:ascii="仿宋" w:hAnsi="仿宋" w:eastAsia="仿宋" w:cs="仿宋"/>
          <w:b/>
          <w:bCs/>
          <w:sz w:val="30"/>
          <w:szCs w:val="30"/>
        </w:rPr>
      </w:pPr>
      <w:r>
        <w:rPr>
          <w:rFonts w:hint="eastAsia" w:ascii="仿宋" w:hAnsi="仿宋" w:eastAsia="仿宋" w:cs="仿宋"/>
          <w:b/>
          <w:bCs/>
          <w:sz w:val="30"/>
          <w:szCs w:val="30"/>
        </w:rPr>
        <w:t>第四章 申请条件</w:t>
      </w:r>
    </w:p>
    <w:p w14:paraId="1011356B">
      <w:pPr>
        <w:ind w:firstLine="600" w:firstLineChars="200"/>
        <w:rPr>
          <w:rFonts w:ascii="仿宋" w:hAnsi="仿宋" w:eastAsia="仿宋" w:cs="仿宋"/>
          <w:sz w:val="30"/>
          <w:szCs w:val="30"/>
        </w:rPr>
      </w:pPr>
      <w:r>
        <w:rPr>
          <w:rFonts w:hint="eastAsia" w:ascii="仿宋" w:hAnsi="仿宋" w:eastAsia="仿宋" w:cs="仿宋"/>
          <w:sz w:val="30"/>
          <w:szCs w:val="30"/>
        </w:rPr>
        <w:t>申请人应具备以下条件：</w:t>
      </w:r>
    </w:p>
    <w:p w14:paraId="3B3E094A">
      <w:pPr>
        <w:ind w:firstLine="602" w:firstLineChars="200"/>
        <w:rPr>
          <w:rFonts w:ascii="仿宋" w:hAnsi="仿宋" w:eastAsia="仿宋" w:cs="仿宋"/>
          <w:b/>
          <w:sz w:val="30"/>
          <w:szCs w:val="30"/>
        </w:rPr>
      </w:pPr>
      <w:r>
        <w:rPr>
          <w:rFonts w:hint="eastAsia" w:ascii="仿宋" w:hAnsi="仿宋" w:eastAsia="仿宋" w:cs="仿宋"/>
          <w:b/>
          <w:sz w:val="30"/>
          <w:szCs w:val="30"/>
        </w:rPr>
        <w:t>第十六条 基本条件</w:t>
      </w:r>
    </w:p>
    <w:p w14:paraId="2FC8D1A1">
      <w:pPr>
        <w:ind w:firstLine="600" w:firstLineChars="200"/>
        <w:rPr>
          <w:rFonts w:ascii="仿宋" w:hAnsi="仿宋" w:eastAsia="仿宋" w:cs="仿宋"/>
          <w:sz w:val="30"/>
          <w:szCs w:val="30"/>
        </w:rPr>
      </w:pPr>
      <w:r>
        <w:rPr>
          <w:rFonts w:hint="eastAsia" w:ascii="仿宋" w:hAnsi="仿宋" w:eastAsia="仿宋" w:cs="仿宋"/>
          <w:sz w:val="30"/>
          <w:szCs w:val="30"/>
        </w:rPr>
        <w:t>1、遵守国家财经法律法规、规章制度，无违反财经法规与纪律的行为;</w:t>
      </w:r>
    </w:p>
    <w:p w14:paraId="4BFBA458">
      <w:pPr>
        <w:ind w:firstLine="600" w:firstLineChars="200"/>
        <w:rPr>
          <w:rFonts w:ascii="仿宋" w:hAnsi="仿宋" w:eastAsia="仿宋" w:cs="仿宋"/>
          <w:sz w:val="30"/>
          <w:szCs w:val="30"/>
        </w:rPr>
      </w:pPr>
      <w:r>
        <w:rPr>
          <w:rFonts w:hint="eastAsia" w:ascii="仿宋" w:hAnsi="仿宋" w:eastAsia="仿宋" w:cs="仿宋"/>
          <w:sz w:val="30"/>
          <w:szCs w:val="30"/>
        </w:rPr>
        <w:t>2、具有较高的政治素质和政策水平，良好的社会诚信和职业道德；</w:t>
      </w:r>
    </w:p>
    <w:p w14:paraId="069FC218">
      <w:pPr>
        <w:ind w:firstLine="600" w:firstLineChars="200"/>
        <w:rPr>
          <w:rFonts w:ascii="仿宋" w:hAnsi="仿宋" w:eastAsia="仿宋" w:cs="仿宋"/>
          <w:sz w:val="30"/>
          <w:szCs w:val="30"/>
        </w:rPr>
      </w:pPr>
      <w:r>
        <w:rPr>
          <w:rFonts w:hint="eastAsia" w:ascii="仿宋" w:hAnsi="仿宋" w:eastAsia="仿宋" w:cs="仿宋"/>
          <w:sz w:val="30"/>
          <w:szCs w:val="30"/>
        </w:rPr>
        <w:t>3、精通财经法规、监管政策、会计准则、税收法律法规。熟练掌握财务管理、预算管理、成本管理、资金管理、绩效管理等知识。</w:t>
      </w:r>
    </w:p>
    <w:p w14:paraId="5768A0A4">
      <w:pPr>
        <w:ind w:firstLine="602" w:firstLineChars="200"/>
        <w:rPr>
          <w:rFonts w:ascii="仿宋" w:hAnsi="仿宋" w:eastAsia="仿宋" w:cs="仿宋"/>
          <w:b/>
          <w:sz w:val="30"/>
          <w:szCs w:val="30"/>
        </w:rPr>
      </w:pPr>
      <w:r>
        <w:rPr>
          <w:rFonts w:hint="eastAsia" w:ascii="仿宋" w:hAnsi="仿宋" w:eastAsia="仿宋" w:cs="仿宋"/>
          <w:b/>
          <w:sz w:val="30"/>
          <w:szCs w:val="30"/>
        </w:rPr>
        <w:t>第十七条 任职资历</w:t>
      </w:r>
    </w:p>
    <w:p w14:paraId="45AEB6B7">
      <w:pPr>
        <w:ind w:firstLine="600" w:firstLineChars="200"/>
        <w:rPr>
          <w:rFonts w:ascii="仿宋" w:hAnsi="仿宋" w:eastAsia="仿宋" w:cs="仿宋"/>
          <w:sz w:val="30"/>
          <w:szCs w:val="30"/>
        </w:rPr>
      </w:pPr>
      <w:r>
        <w:rPr>
          <w:rFonts w:hint="eastAsia" w:ascii="仿宋" w:hAnsi="仿宋" w:eastAsia="仿宋" w:cs="仿宋"/>
          <w:sz w:val="30"/>
          <w:szCs w:val="30"/>
        </w:rPr>
        <w:t>1、具有大学本科及以上学历，或具备财会类、经济类、管理类、统计类、计算机、工程类等高级专业技术职称之一。</w:t>
      </w:r>
    </w:p>
    <w:p w14:paraId="7428867C">
      <w:pPr>
        <w:ind w:firstLine="600" w:firstLineChars="200"/>
        <w:rPr>
          <w:rFonts w:ascii="仿宋" w:hAnsi="仿宋" w:eastAsia="仿宋" w:cs="仿宋"/>
          <w:sz w:val="30"/>
          <w:szCs w:val="30"/>
        </w:rPr>
      </w:pPr>
      <w:r>
        <w:rPr>
          <w:rFonts w:hint="eastAsia" w:ascii="仿宋" w:hAnsi="仿宋" w:eastAsia="仿宋" w:cs="仿宋"/>
          <w:sz w:val="30"/>
          <w:szCs w:val="30"/>
        </w:rPr>
        <w:t>2、担任企业董事长、总经理、副总经理、总会计师（包括首席财务官、管理合伙人、财务总监等）、大型企业财会部门负责人、事业单位总会计师及履行总会计师职能的财务负责人。</w:t>
      </w:r>
    </w:p>
    <w:p w14:paraId="72DD4687">
      <w:pPr>
        <w:ind w:firstLine="602" w:firstLineChars="200"/>
        <w:rPr>
          <w:rFonts w:ascii="仿宋" w:hAnsi="仿宋" w:eastAsia="仿宋" w:cs="仿宋"/>
          <w:sz w:val="30"/>
          <w:szCs w:val="30"/>
        </w:rPr>
      </w:pPr>
      <w:r>
        <w:rPr>
          <w:rFonts w:hint="eastAsia" w:ascii="仿宋" w:hAnsi="仿宋" w:eastAsia="仿宋" w:cs="仿宋"/>
          <w:b/>
          <w:sz w:val="30"/>
          <w:szCs w:val="30"/>
        </w:rPr>
        <w:t>第十八条 能力要求</w:t>
      </w:r>
    </w:p>
    <w:p w14:paraId="64DE0F65">
      <w:pPr>
        <w:ind w:firstLine="600" w:firstLineChars="200"/>
        <w:rPr>
          <w:rFonts w:ascii="仿宋" w:hAnsi="仿宋" w:eastAsia="仿宋" w:cs="仿宋"/>
          <w:sz w:val="30"/>
          <w:szCs w:val="30"/>
        </w:rPr>
      </w:pPr>
      <w:r>
        <w:rPr>
          <w:rFonts w:hint="eastAsia" w:ascii="仿宋" w:hAnsi="仿宋" w:eastAsia="仿宋" w:cs="仿宋"/>
          <w:sz w:val="30"/>
          <w:szCs w:val="30"/>
        </w:rPr>
        <w:t>1、宏观经济形势的认知和判断能力。能够准确执行和把握各财经监管机构的政策，熟悉国家经济体制和自身管理领域相关的制度，确保所在单位经营的合法合规。</w:t>
      </w:r>
    </w:p>
    <w:p w14:paraId="77F88D7F">
      <w:pPr>
        <w:ind w:firstLine="600" w:firstLineChars="200"/>
        <w:rPr>
          <w:rFonts w:ascii="仿宋" w:hAnsi="仿宋" w:eastAsia="仿宋" w:cs="仿宋"/>
          <w:sz w:val="30"/>
          <w:szCs w:val="30"/>
        </w:rPr>
      </w:pPr>
      <w:r>
        <w:rPr>
          <w:rFonts w:hint="eastAsia" w:ascii="仿宋" w:hAnsi="仿宋" w:eastAsia="仿宋" w:cs="仿宋"/>
          <w:sz w:val="30"/>
          <w:szCs w:val="30"/>
        </w:rPr>
        <w:t>2、战略规划能力。能够对本单位的经营进行科学预测，并能有效地制订战略规划，及时引导和调整战略布局，并针对财务及经营管理中的现实情况和问题，做出必要的调整，确保本单位长期稳健发展。</w:t>
      </w:r>
    </w:p>
    <w:p w14:paraId="3DD73D17">
      <w:pPr>
        <w:ind w:firstLine="600" w:firstLineChars="200"/>
        <w:rPr>
          <w:rFonts w:ascii="仿宋" w:hAnsi="仿宋" w:eastAsia="仿宋" w:cs="仿宋"/>
          <w:sz w:val="30"/>
          <w:szCs w:val="30"/>
        </w:rPr>
      </w:pPr>
      <w:r>
        <w:rPr>
          <w:rFonts w:hint="eastAsia" w:ascii="仿宋" w:hAnsi="仿宋" w:eastAsia="仿宋" w:cs="仿宋"/>
          <w:sz w:val="30"/>
          <w:szCs w:val="30"/>
        </w:rPr>
        <w:t>3、较强的决策能力和创新能力。善于分析并落实决策目标、细化决策方案，化解突出矛盾，善于针对问题、解决问题。能够根据所在单位的管理会计实务在企业管理和管理会计应用方面进行理论创新和应用创新。</w:t>
      </w:r>
    </w:p>
    <w:p w14:paraId="6D57C1C2">
      <w:pPr>
        <w:ind w:firstLine="600" w:firstLineChars="200"/>
        <w:rPr>
          <w:rFonts w:ascii="仿宋" w:hAnsi="仿宋" w:eastAsia="仿宋" w:cs="仿宋"/>
          <w:sz w:val="30"/>
          <w:szCs w:val="30"/>
        </w:rPr>
      </w:pPr>
      <w:r>
        <w:rPr>
          <w:rFonts w:hint="eastAsia" w:ascii="仿宋" w:hAnsi="仿宋" w:eastAsia="仿宋" w:cs="仿宋"/>
          <w:sz w:val="30"/>
          <w:szCs w:val="30"/>
        </w:rPr>
        <w:t>4、优秀的组织协调能力。善于平衡本单位内部的利益冲突，统筹规划本单位的战略规划、经营管理和风险控制，提升本单位持续创造价值的能力。</w:t>
      </w:r>
    </w:p>
    <w:p w14:paraId="000FF641">
      <w:pPr>
        <w:ind w:firstLine="600" w:firstLineChars="200"/>
        <w:rPr>
          <w:rFonts w:ascii="仿宋" w:hAnsi="仿宋" w:eastAsia="仿宋" w:cs="仿宋"/>
          <w:sz w:val="30"/>
          <w:szCs w:val="30"/>
        </w:rPr>
      </w:pPr>
      <w:r>
        <w:rPr>
          <w:rFonts w:hint="eastAsia" w:ascii="仿宋" w:hAnsi="仿宋" w:eastAsia="仿宋" w:cs="仿宋"/>
          <w:sz w:val="30"/>
          <w:szCs w:val="30"/>
        </w:rPr>
        <w:t>5、具备突发事件处置能力。在日常管理中，能够做好有效的风险防范、预警和评估，对经济舆情有高度敏感性，善于总结事件成因，善于处理复杂性、突发性问题。</w:t>
      </w:r>
    </w:p>
    <w:p w14:paraId="527DADD0">
      <w:pPr>
        <w:ind w:firstLine="602" w:firstLineChars="200"/>
        <w:rPr>
          <w:rFonts w:ascii="仿宋" w:hAnsi="仿宋" w:eastAsia="仿宋" w:cs="仿宋"/>
          <w:sz w:val="30"/>
          <w:szCs w:val="30"/>
        </w:rPr>
      </w:pPr>
      <w:r>
        <w:rPr>
          <w:rFonts w:hint="eastAsia" w:ascii="仿宋" w:hAnsi="仿宋" w:eastAsia="仿宋" w:cs="仿宋"/>
          <w:b/>
          <w:sz w:val="30"/>
          <w:szCs w:val="30"/>
        </w:rPr>
        <w:t>第十九条 理论与实践成果</w:t>
      </w:r>
    </w:p>
    <w:p w14:paraId="75D9488F">
      <w:pPr>
        <w:ind w:firstLine="600" w:firstLineChars="200"/>
        <w:rPr>
          <w:rFonts w:ascii="仿宋" w:hAnsi="仿宋" w:eastAsia="仿宋" w:cs="仿宋"/>
          <w:sz w:val="30"/>
          <w:szCs w:val="30"/>
        </w:rPr>
      </w:pPr>
      <w:r>
        <w:rPr>
          <w:rFonts w:hint="eastAsia" w:ascii="仿宋" w:hAnsi="仿宋" w:eastAsia="仿宋" w:cs="仿宋"/>
          <w:sz w:val="30"/>
          <w:szCs w:val="30"/>
        </w:rPr>
        <w:t>申请人应掌握管理会计专业理论和专业知识，近五年来，发表或完成在本单位业财融合实践中取得的管理会计成果，满足下列条件之一：</w:t>
      </w:r>
    </w:p>
    <w:p w14:paraId="2600E6CB">
      <w:pPr>
        <w:ind w:firstLine="600" w:firstLineChars="200"/>
        <w:rPr>
          <w:rFonts w:ascii="仿宋" w:hAnsi="仿宋" w:eastAsia="仿宋" w:cs="仿宋"/>
          <w:sz w:val="30"/>
          <w:szCs w:val="30"/>
        </w:rPr>
      </w:pPr>
      <w:r>
        <w:rPr>
          <w:rFonts w:hint="eastAsia" w:ascii="仿宋" w:hAnsi="仿宋" w:eastAsia="仿宋" w:cs="仿宋"/>
          <w:sz w:val="30"/>
          <w:szCs w:val="30"/>
        </w:rPr>
        <w:t>1、结合本单位管理会计实践形成的管理会计案例；</w:t>
      </w:r>
    </w:p>
    <w:p w14:paraId="20778E68">
      <w:pPr>
        <w:ind w:firstLine="600" w:firstLineChars="200"/>
        <w:rPr>
          <w:rFonts w:ascii="仿宋" w:hAnsi="仿宋" w:eastAsia="仿宋" w:cs="仿宋"/>
          <w:sz w:val="30"/>
          <w:szCs w:val="30"/>
        </w:rPr>
      </w:pPr>
      <w:r>
        <w:rPr>
          <w:rFonts w:hint="eastAsia" w:ascii="仿宋" w:hAnsi="仿宋" w:eastAsia="仿宋" w:cs="仿宋"/>
          <w:sz w:val="30"/>
          <w:szCs w:val="30"/>
        </w:rPr>
        <w:t>2、在《中国管理会计》杂志等专业期刊上以独立或第一作者身份发表管理会计领域专业论文；</w:t>
      </w:r>
    </w:p>
    <w:p w14:paraId="3C6B6D79">
      <w:pPr>
        <w:ind w:firstLine="600" w:firstLineChars="200"/>
        <w:rPr>
          <w:rFonts w:ascii="仿宋" w:hAnsi="仿宋" w:eastAsia="仿宋" w:cs="仿宋"/>
          <w:sz w:val="30"/>
          <w:szCs w:val="30"/>
        </w:rPr>
      </w:pPr>
      <w:r>
        <w:rPr>
          <w:rFonts w:hint="eastAsia" w:ascii="仿宋" w:hAnsi="仿宋" w:eastAsia="仿宋" w:cs="仿宋"/>
          <w:sz w:val="30"/>
          <w:szCs w:val="30"/>
        </w:rPr>
        <w:t>3、正式出版管理会计领域有价值的论著或译著；</w:t>
      </w:r>
    </w:p>
    <w:p w14:paraId="7DE80FD0">
      <w:pPr>
        <w:ind w:firstLine="600" w:firstLineChars="200"/>
        <w:rPr>
          <w:rFonts w:ascii="仿宋" w:hAnsi="仿宋" w:eastAsia="仿宋" w:cs="仿宋"/>
          <w:sz w:val="30"/>
          <w:szCs w:val="30"/>
        </w:rPr>
      </w:pPr>
      <w:r>
        <w:rPr>
          <w:rFonts w:hint="eastAsia" w:ascii="仿宋" w:hAnsi="仿宋" w:eastAsia="仿宋" w:cs="仿宋"/>
          <w:sz w:val="30"/>
          <w:szCs w:val="30"/>
        </w:rPr>
        <w:t>4、主持省部级或全国一级社团立项的管理会计相关专业科研课题，并经财政部或省部级业务主管部门组织的专家鉴定通过，认为具有重要价值。</w:t>
      </w:r>
    </w:p>
    <w:p w14:paraId="46628696">
      <w:pPr>
        <w:ind w:firstLine="602" w:firstLineChars="200"/>
        <w:rPr>
          <w:rFonts w:ascii="仿宋" w:hAnsi="仿宋" w:eastAsia="仿宋" w:cs="仿宋"/>
          <w:b/>
          <w:bCs/>
          <w:sz w:val="30"/>
          <w:szCs w:val="30"/>
        </w:rPr>
      </w:pPr>
      <w:r>
        <w:rPr>
          <w:rFonts w:hint="eastAsia" w:ascii="仿宋" w:hAnsi="仿宋" w:eastAsia="仿宋" w:cs="仿宋"/>
          <w:b/>
          <w:bCs/>
          <w:sz w:val="30"/>
          <w:szCs w:val="30"/>
        </w:rPr>
        <w:t>申请人应确定1项成果（案例或论文、著作、课题）作为送审作品。</w:t>
      </w:r>
    </w:p>
    <w:p w14:paraId="12A1B1BD">
      <w:pPr>
        <w:ind w:firstLine="602" w:firstLineChars="200"/>
        <w:rPr>
          <w:rFonts w:ascii="仿宋" w:hAnsi="仿宋" w:eastAsia="仿宋" w:cs="仿宋"/>
          <w:sz w:val="30"/>
          <w:szCs w:val="30"/>
        </w:rPr>
      </w:pPr>
      <w:r>
        <w:rPr>
          <w:rFonts w:hint="eastAsia" w:ascii="仿宋" w:hAnsi="仿宋" w:eastAsia="仿宋" w:cs="仿宋"/>
          <w:b/>
          <w:sz w:val="30"/>
          <w:szCs w:val="30"/>
        </w:rPr>
        <w:t>第二十条</w:t>
      </w:r>
      <w:r>
        <w:rPr>
          <w:rFonts w:ascii="仿宋" w:hAnsi="仿宋" w:eastAsia="仿宋" w:cs="仿宋"/>
          <w:b/>
          <w:sz w:val="30"/>
          <w:szCs w:val="30"/>
        </w:rPr>
        <w:t xml:space="preserve"> </w:t>
      </w:r>
      <w:r>
        <w:rPr>
          <w:rFonts w:hint="eastAsia" w:ascii="仿宋" w:hAnsi="仿宋" w:eastAsia="仿宋" w:cs="仿宋"/>
          <w:b/>
          <w:sz w:val="30"/>
          <w:szCs w:val="30"/>
        </w:rPr>
        <w:t>工作业绩</w:t>
      </w:r>
    </w:p>
    <w:p w14:paraId="346D4CDF">
      <w:pPr>
        <w:ind w:firstLine="600" w:firstLineChars="200"/>
        <w:rPr>
          <w:rFonts w:ascii="仿宋" w:hAnsi="仿宋" w:eastAsia="仿宋" w:cs="仿宋"/>
          <w:sz w:val="30"/>
          <w:szCs w:val="30"/>
        </w:rPr>
      </w:pPr>
      <w:r>
        <w:rPr>
          <w:rFonts w:hint="eastAsia" w:ascii="仿宋" w:hAnsi="仿宋" w:eastAsia="仿宋" w:cs="仿宋"/>
          <w:sz w:val="30"/>
          <w:szCs w:val="30"/>
        </w:rPr>
        <w:t>申请人应在本单位战略规划、经营决策、风险控制和业绩评价中发挥重要作用，为促进本单位管理升级、提质增效、价值创造等方面做出重要贡献，并取得至少一项下列成绩：　</w:t>
      </w:r>
    </w:p>
    <w:p w14:paraId="00A74802">
      <w:pPr>
        <w:ind w:firstLine="600" w:firstLineChars="200"/>
        <w:rPr>
          <w:rFonts w:ascii="仿宋" w:hAnsi="仿宋" w:eastAsia="仿宋" w:cs="仿宋"/>
          <w:sz w:val="30"/>
          <w:szCs w:val="30"/>
        </w:rPr>
      </w:pPr>
      <w:r>
        <w:rPr>
          <w:rFonts w:hint="eastAsia" w:ascii="仿宋" w:hAnsi="仿宋" w:eastAsia="仿宋" w:cs="仿宋"/>
          <w:sz w:val="30"/>
          <w:szCs w:val="30"/>
        </w:rPr>
        <w:t>1、在制定并组织实施本单位战略管理过程中，取得显著成绩并发挥主要作用，为提升企业核心竞争力作出贡献；</w:t>
      </w:r>
    </w:p>
    <w:p w14:paraId="4FC2ACAE">
      <w:pPr>
        <w:ind w:firstLine="600" w:firstLineChars="200"/>
        <w:rPr>
          <w:rFonts w:ascii="仿宋" w:hAnsi="仿宋" w:eastAsia="仿宋" w:cs="仿宋"/>
          <w:sz w:val="30"/>
          <w:szCs w:val="30"/>
        </w:rPr>
      </w:pPr>
      <w:r>
        <w:rPr>
          <w:rFonts w:hint="eastAsia" w:ascii="仿宋" w:hAnsi="仿宋" w:eastAsia="仿宋" w:cs="仿宋"/>
          <w:sz w:val="30"/>
          <w:szCs w:val="30"/>
        </w:rPr>
        <w:t>2、在制定并组织实施本单位预算管理、成本管理、绩效管理、投融资管理等方面取得突出成绩；</w:t>
      </w:r>
    </w:p>
    <w:p w14:paraId="4EA4FE13">
      <w:pPr>
        <w:ind w:firstLine="600" w:firstLineChars="200"/>
        <w:rPr>
          <w:rFonts w:ascii="仿宋" w:hAnsi="仿宋" w:eastAsia="仿宋" w:cs="仿宋"/>
          <w:sz w:val="30"/>
          <w:szCs w:val="30"/>
        </w:rPr>
      </w:pPr>
      <w:r>
        <w:rPr>
          <w:rFonts w:hint="eastAsia" w:ascii="仿宋" w:hAnsi="仿宋" w:eastAsia="仿宋" w:cs="仿宋"/>
          <w:sz w:val="30"/>
          <w:szCs w:val="30"/>
        </w:rPr>
        <w:t>3、在深化本单位改革和建立现代企业制度中发挥决策作用，并在资产经营、资本运作、资金管理、内部控制等方面取得显著成绩；</w:t>
      </w:r>
    </w:p>
    <w:p w14:paraId="262734DB">
      <w:pPr>
        <w:ind w:firstLine="600" w:firstLineChars="200"/>
        <w:rPr>
          <w:rFonts w:ascii="仿宋" w:hAnsi="仿宋" w:eastAsia="仿宋" w:cs="仿宋"/>
          <w:sz w:val="30"/>
          <w:szCs w:val="30"/>
        </w:rPr>
      </w:pPr>
      <w:r>
        <w:rPr>
          <w:rFonts w:hint="eastAsia" w:ascii="仿宋" w:hAnsi="仿宋" w:eastAsia="仿宋" w:cs="仿宋"/>
          <w:sz w:val="30"/>
          <w:szCs w:val="30"/>
        </w:rPr>
        <w:t>4、在贯彻执行国家有关政策规定，解决重大实际问题方面取得显著的经济效益、社会效益或生态效益。</w:t>
      </w:r>
    </w:p>
    <w:p w14:paraId="4126ADE9">
      <w:pPr>
        <w:ind w:firstLine="602" w:firstLineChars="200"/>
        <w:rPr>
          <w:rFonts w:ascii="仿宋" w:hAnsi="仿宋" w:eastAsia="仿宋" w:cs="仿宋"/>
          <w:sz w:val="30"/>
          <w:szCs w:val="30"/>
        </w:rPr>
      </w:pPr>
      <w:r>
        <w:rPr>
          <w:rFonts w:hint="eastAsia" w:ascii="仿宋" w:hAnsi="仿宋" w:eastAsia="仿宋" w:cs="仿宋"/>
          <w:b/>
          <w:sz w:val="30"/>
          <w:szCs w:val="30"/>
        </w:rPr>
        <w:t>第二十一条 任职单位规模</w:t>
      </w:r>
    </w:p>
    <w:p w14:paraId="31593E93">
      <w:pPr>
        <w:ind w:firstLine="600" w:firstLineChars="200"/>
        <w:rPr>
          <w:rFonts w:ascii="仿宋" w:hAnsi="仿宋" w:eastAsia="仿宋" w:cs="仿宋"/>
          <w:sz w:val="30"/>
          <w:szCs w:val="30"/>
        </w:rPr>
      </w:pPr>
      <w:r>
        <w:rPr>
          <w:rFonts w:hint="eastAsia" w:ascii="仿宋" w:hAnsi="仿宋" w:eastAsia="仿宋" w:cs="仿宋"/>
          <w:sz w:val="30"/>
          <w:szCs w:val="30"/>
        </w:rPr>
        <w:t>申请人任职单位的规模应具备下列条件之一：</w:t>
      </w:r>
    </w:p>
    <w:p w14:paraId="137B6B46">
      <w:pPr>
        <w:ind w:firstLine="600" w:firstLineChars="200"/>
        <w:rPr>
          <w:rFonts w:ascii="仿宋" w:hAnsi="仿宋" w:eastAsia="仿宋" w:cs="仿宋"/>
          <w:sz w:val="30"/>
          <w:szCs w:val="30"/>
        </w:rPr>
      </w:pPr>
      <w:r>
        <w:rPr>
          <w:rFonts w:hint="eastAsia" w:ascii="仿宋" w:hAnsi="仿宋" w:eastAsia="仿宋" w:cs="仿宋"/>
          <w:sz w:val="30"/>
          <w:szCs w:val="30"/>
        </w:rPr>
        <w:t>1、申请人所在单位为企业的，其所在单位应为上市公司或大中型企业，包含国有企业、民营企业、股份制企业、外商独资及合资企业等所有制类型；</w:t>
      </w:r>
    </w:p>
    <w:p w14:paraId="55AF6DBC">
      <w:pPr>
        <w:ind w:firstLine="600" w:firstLineChars="200"/>
        <w:rPr>
          <w:rFonts w:ascii="仿宋" w:hAnsi="仿宋" w:eastAsia="仿宋" w:cs="仿宋"/>
          <w:sz w:val="30"/>
          <w:szCs w:val="30"/>
        </w:rPr>
      </w:pPr>
      <w:r>
        <w:rPr>
          <w:rFonts w:hint="eastAsia" w:ascii="仿宋" w:hAnsi="仿宋" w:eastAsia="仿宋" w:cs="仿宋"/>
          <w:sz w:val="30"/>
          <w:szCs w:val="30"/>
        </w:rPr>
        <w:t>2、申请人所在单位为事业单位的，其所在单位应为三甲医院、双一流高校或985或211高校等事业单位；</w:t>
      </w:r>
    </w:p>
    <w:p w14:paraId="1CF4840B">
      <w:pPr>
        <w:ind w:firstLine="639" w:firstLineChars="213"/>
        <w:rPr>
          <w:rFonts w:ascii="仿宋" w:hAnsi="仿宋" w:eastAsia="仿宋" w:cs="仿宋"/>
          <w:sz w:val="30"/>
          <w:szCs w:val="30"/>
        </w:rPr>
      </w:pPr>
      <w:r>
        <w:rPr>
          <w:rFonts w:hint="eastAsia" w:ascii="仿宋" w:hAnsi="仿宋" w:eastAsia="仿宋" w:cs="仿宋"/>
          <w:sz w:val="30"/>
          <w:szCs w:val="30"/>
        </w:rPr>
        <w:t>3、其他单位的申请人，其任职单位规模参照上述规定。</w:t>
      </w:r>
    </w:p>
    <w:p w14:paraId="24F8F302">
      <w:pPr>
        <w:jc w:val="center"/>
        <w:rPr>
          <w:rFonts w:ascii="仿宋" w:hAnsi="仿宋" w:eastAsia="仿宋" w:cs="仿宋"/>
          <w:b/>
          <w:bCs/>
          <w:sz w:val="30"/>
          <w:szCs w:val="30"/>
        </w:rPr>
      </w:pPr>
      <w:r>
        <w:rPr>
          <w:rFonts w:hint="eastAsia" w:ascii="仿宋" w:hAnsi="仿宋" w:eastAsia="仿宋" w:cs="仿宋"/>
          <w:b/>
          <w:bCs/>
          <w:sz w:val="30"/>
          <w:szCs w:val="30"/>
        </w:rPr>
        <w:t>第五章 附 则</w:t>
      </w:r>
    </w:p>
    <w:p w14:paraId="4B5C63F0">
      <w:pPr>
        <w:ind w:firstLine="602" w:firstLineChars="200"/>
        <w:rPr>
          <w:rFonts w:ascii="仿宋" w:hAnsi="仿宋" w:eastAsia="仿宋" w:cs="仿宋"/>
          <w:sz w:val="30"/>
          <w:szCs w:val="30"/>
        </w:rPr>
      </w:pPr>
      <w:r>
        <w:rPr>
          <w:rFonts w:hint="eastAsia" w:ascii="仿宋" w:hAnsi="仿宋" w:eastAsia="仿宋" w:cs="仿宋"/>
          <w:b/>
          <w:sz w:val="30"/>
          <w:szCs w:val="30"/>
        </w:rPr>
        <w:t xml:space="preserve">第二十二条 </w:t>
      </w:r>
      <w:r>
        <w:rPr>
          <w:rFonts w:hint="eastAsia" w:ascii="仿宋" w:hAnsi="仿宋" w:eastAsia="仿宋" w:cs="仿宋"/>
          <w:sz w:val="30"/>
          <w:szCs w:val="30"/>
        </w:rPr>
        <w:t>本办法自颁布之日起执行。</w:t>
      </w:r>
    </w:p>
    <w:p w14:paraId="4811BF20">
      <w:pPr>
        <w:ind w:firstLine="602" w:firstLineChars="200"/>
      </w:pPr>
      <w:r>
        <w:rPr>
          <w:rFonts w:hint="eastAsia" w:ascii="仿宋" w:hAnsi="仿宋" w:eastAsia="仿宋" w:cs="仿宋"/>
          <w:b/>
          <w:sz w:val="30"/>
          <w:szCs w:val="30"/>
        </w:rPr>
        <w:t xml:space="preserve">第二十三条 </w:t>
      </w:r>
      <w:r>
        <w:rPr>
          <w:rFonts w:hint="eastAsia" w:ascii="仿宋" w:hAnsi="仿宋" w:eastAsia="仿宋" w:cs="仿宋"/>
          <w:sz w:val="30"/>
          <w:szCs w:val="30"/>
        </w:rPr>
        <w:t>本办法由中总协秘书处负责解释。</w:t>
      </w:r>
    </w:p>
    <w:p w14:paraId="7CD97E10">
      <w:pPr>
        <w:jc w:val="left"/>
        <w:rPr>
          <w:rFonts w:hint="eastAsia"/>
          <w:sz w:val="30"/>
          <w:szCs w:val="30"/>
        </w:rPr>
      </w:pPr>
    </w:p>
    <w:p w14:paraId="6C5A33F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F4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2025-02-28T06:42:13Z</dcterms:created>
  <dc:creator>Joyce</dc:creator>
  <cp:lastModifiedBy>LINNAN</cp:lastModifiedBy>
  <dcterms:modified xsi:type="dcterms:W3CDTF">2025-02-28T06:42:55Z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eyJoZGlkIjoiMjFjZmUxMWExMzA1YzllNGUxOGQwNzJiNmM2ZDFlZmUiLCJ1c2VySWQiOiIyMjQwNjg3MSJ9</vt:lpwstr>
  </property>
  <property fmtid="{D5CDD505-2E9C-101B-9397-08002B2CF9AE}" pid="4" name="ICV">
    <vt:lpwstr>0F8A578CA0244062913844F8569883C1_12</vt:lpwstr>
  </property>
</Properties>
</file>